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8F4E1" w14:textId="77777777" w:rsidR="00E71DBC" w:rsidRPr="002029AB" w:rsidRDefault="006173A3">
      <w:pPr>
        <w:rPr>
          <w:sz w:val="24"/>
          <w:szCs w:val="24"/>
        </w:rPr>
      </w:pPr>
      <w:r w:rsidRPr="002029AB">
        <w:rPr>
          <w:b/>
          <w:sz w:val="24"/>
          <w:szCs w:val="24"/>
        </w:rPr>
        <w:t xml:space="preserve">Табела 5.2 </w:t>
      </w:r>
      <w:r w:rsidRPr="002029AB">
        <w:rPr>
          <w:sz w:val="24"/>
          <w:szCs w:val="24"/>
        </w:rPr>
        <w:t xml:space="preserve">Спецификација  предмета </w:t>
      </w:r>
    </w:p>
    <w:tbl>
      <w:tblPr>
        <w:tblStyle w:val="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3"/>
        <w:gridCol w:w="180"/>
        <w:gridCol w:w="1895"/>
        <w:gridCol w:w="1615"/>
        <w:gridCol w:w="1640"/>
        <w:gridCol w:w="1271"/>
      </w:tblGrid>
      <w:tr w:rsidR="00665878" w:rsidRPr="002029AB" w14:paraId="1AA5C92D" w14:textId="77777777" w:rsidTr="00741F5C">
        <w:tc>
          <w:tcPr>
            <w:tcW w:w="9854" w:type="dxa"/>
            <w:gridSpan w:val="6"/>
            <w:tcBorders>
              <w:top w:val="single" w:sz="4" w:space="0" w:color="000000"/>
              <w:left w:val="single" w:sz="4" w:space="0" w:color="000000"/>
              <w:bottom w:val="single" w:sz="4" w:space="0" w:color="000000"/>
              <w:right w:val="single" w:sz="4" w:space="0" w:color="000000"/>
            </w:tcBorders>
            <w:vAlign w:val="center"/>
          </w:tcPr>
          <w:p w14:paraId="1FD71DFA" w14:textId="0C8238A1" w:rsidR="00665878" w:rsidRPr="002029AB" w:rsidRDefault="00665878" w:rsidP="00665878">
            <w:pPr>
              <w:tabs>
                <w:tab w:val="center" w:pos="4320"/>
                <w:tab w:val="right" w:pos="8640"/>
              </w:tabs>
              <w:rPr>
                <w:sz w:val="24"/>
                <w:szCs w:val="24"/>
                <w:lang w:val="sr-Cyrl-RS"/>
              </w:rPr>
            </w:pPr>
            <w:r w:rsidRPr="002029AB">
              <w:rPr>
                <w:b/>
                <w:sz w:val="24"/>
                <w:szCs w:val="24"/>
              </w:rPr>
              <w:t xml:space="preserve">Студијски програм : </w:t>
            </w:r>
            <w:r w:rsidRPr="002029AB">
              <w:rPr>
                <w:sz w:val="24"/>
                <w:szCs w:val="24"/>
              </w:rPr>
              <w:t>Основне</w:t>
            </w:r>
            <w:r w:rsidRPr="002029AB">
              <w:rPr>
                <w:b/>
                <w:sz w:val="24"/>
                <w:szCs w:val="24"/>
              </w:rPr>
              <w:t xml:space="preserve"> </w:t>
            </w:r>
            <w:r w:rsidRPr="002029AB">
              <w:rPr>
                <w:sz w:val="24"/>
                <w:szCs w:val="24"/>
              </w:rPr>
              <w:t>академске студије немачког језика и књижевности</w:t>
            </w:r>
          </w:p>
        </w:tc>
      </w:tr>
      <w:tr w:rsidR="00665878" w:rsidRPr="002029AB" w14:paraId="4BB4EB7E" w14:textId="77777777" w:rsidTr="00741F5C">
        <w:tc>
          <w:tcPr>
            <w:tcW w:w="9854" w:type="dxa"/>
            <w:gridSpan w:val="6"/>
            <w:tcBorders>
              <w:top w:val="single" w:sz="4" w:space="0" w:color="000000"/>
              <w:left w:val="single" w:sz="4" w:space="0" w:color="000000"/>
              <w:bottom w:val="single" w:sz="4" w:space="0" w:color="000000"/>
              <w:right w:val="single" w:sz="4" w:space="0" w:color="000000"/>
            </w:tcBorders>
            <w:vAlign w:val="center"/>
          </w:tcPr>
          <w:p w14:paraId="6A2C974A" w14:textId="3570A967" w:rsidR="00665878" w:rsidRPr="002029AB" w:rsidRDefault="00665878" w:rsidP="00665878">
            <w:pPr>
              <w:tabs>
                <w:tab w:val="center" w:pos="4320"/>
                <w:tab w:val="right" w:pos="8640"/>
              </w:tabs>
              <w:rPr>
                <w:sz w:val="24"/>
                <w:szCs w:val="24"/>
              </w:rPr>
            </w:pPr>
            <w:r w:rsidRPr="002029AB">
              <w:rPr>
                <w:b/>
                <w:sz w:val="24"/>
                <w:szCs w:val="24"/>
              </w:rPr>
              <w:t xml:space="preserve">Назив предмета: </w:t>
            </w:r>
            <w:r w:rsidRPr="002029AB">
              <w:rPr>
                <w:sz w:val="24"/>
                <w:szCs w:val="24"/>
              </w:rPr>
              <w:t xml:space="preserve">Енглески језик </w:t>
            </w:r>
            <w:r w:rsidRPr="002029AB">
              <w:rPr>
                <w:sz w:val="24"/>
                <w:szCs w:val="24"/>
                <w:lang w:val="sr-Cyrl-RS"/>
              </w:rPr>
              <w:t>Ц1</w:t>
            </w:r>
            <w:r w:rsidRPr="002029AB">
              <w:rPr>
                <w:sz w:val="24"/>
                <w:szCs w:val="24"/>
              </w:rPr>
              <w:t>.</w:t>
            </w:r>
            <w:r w:rsidR="00D87EE3" w:rsidRPr="002029AB">
              <w:rPr>
                <w:sz w:val="24"/>
                <w:szCs w:val="24"/>
                <w:lang w:val="sr-Cyrl-RS"/>
              </w:rPr>
              <w:t>2</w:t>
            </w:r>
            <w:r w:rsidRPr="002029AB">
              <w:rPr>
                <w:sz w:val="24"/>
                <w:szCs w:val="24"/>
              </w:rPr>
              <w:t>.</w:t>
            </w:r>
          </w:p>
        </w:tc>
      </w:tr>
      <w:tr w:rsidR="00665878" w:rsidRPr="002029AB" w14:paraId="01D677C6" w14:textId="77777777" w:rsidTr="00741F5C">
        <w:tc>
          <w:tcPr>
            <w:tcW w:w="9854" w:type="dxa"/>
            <w:gridSpan w:val="6"/>
            <w:tcBorders>
              <w:top w:val="single" w:sz="4" w:space="0" w:color="000000"/>
              <w:left w:val="single" w:sz="4" w:space="0" w:color="000000"/>
              <w:bottom w:val="single" w:sz="4" w:space="0" w:color="000000"/>
              <w:right w:val="single" w:sz="4" w:space="0" w:color="000000"/>
            </w:tcBorders>
            <w:vAlign w:val="center"/>
          </w:tcPr>
          <w:p w14:paraId="76BB130B" w14:textId="078E2735" w:rsidR="00665878" w:rsidRPr="002029AB" w:rsidRDefault="00665878" w:rsidP="00665878">
            <w:pPr>
              <w:tabs>
                <w:tab w:val="center" w:pos="4320"/>
                <w:tab w:val="right" w:pos="8640"/>
              </w:tabs>
              <w:rPr>
                <w:sz w:val="24"/>
                <w:szCs w:val="24"/>
              </w:rPr>
            </w:pPr>
            <w:r w:rsidRPr="002029AB">
              <w:rPr>
                <w:b/>
                <w:sz w:val="24"/>
                <w:szCs w:val="24"/>
              </w:rPr>
              <w:t xml:space="preserve">Наставник/наставници: </w:t>
            </w:r>
            <w:r w:rsidRPr="002029AB">
              <w:rPr>
                <w:sz w:val="24"/>
                <w:szCs w:val="24"/>
              </w:rPr>
              <w:t>Јасмина П. Ђорђевић</w:t>
            </w:r>
          </w:p>
        </w:tc>
      </w:tr>
      <w:tr w:rsidR="00665878" w:rsidRPr="002029AB" w14:paraId="52EDA40F" w14:textId="77777777" w:rsidTr="00741F5C">
        <w:tc>
          <w:tcPr>
            <w:tcW w:w="9854" w:type="dxa"/>
            <w:gridSpan w:val="6"/>
            <w:tcBorders>
              <w:top w:val="single" w:sz="4" w:space="0" w:color="000000"/>
              <w:left w:val="single" w:sz="4" w:space="0" w:color="000000"/>
              <w:bottom w:val="single" w:sz="4" w:space="0" w:color="000000"/>
              <w:right w:val="single" w:sz="4" w:space="0" w:color="000000"/>
            </w:tcBorders>
            <w:vAlign w:val="center"/>
          </w:tcPr>
          <w:p w14:paraId="1BBD9444" w14:textId="7C178E39" w:rsidR="00665878" w:rsidRPr="002029AB" w:rsidRDefault="00665878" w:rsidP="00665878">
            <w:pPr>
              <w:tabs>
                <w:tab w:val="center" w:pos="4320"/>
                <w:tab w:val="right" w:pos="8640"/>
              </w:tabs>
              <w:rPr>
                <w:sz w:val="24"/>
                <w:szCs w:val="24"/>
              </w:rPr>
            </w:pPr>
            <w:r w:rsidRPr="002029AB">
              <w:rPr>
                <w:b/>
                <w:sz w:val="24"/>
                <w:szCs w:val="24"/>
              </w:rPr>
              <w:t xml:space="preserve">Статус предмета: </w:t>
            </w:r>
            <w:r w:rsidRPr="002029AB">
              <w:rPr>
                <w:sz w:val="24"/>
                <w:szCs w:val="24"/>
              </w:rPr>
              <w:t xml:space="preserve">Изборни </w:t>
            </w:r>
          </w:p>
        </w:tc>
      </w:tr>
      <w:tr w:rsidR="00665878" w:rsidRPr="002029AB" w14:paraId="1A3B474E" w14:textId="77777777" w:rsidTr="00741F5C">
        <w:tc>
          <w:tcPr>
            <w:tcW w:w="9854" w:type="dxa"/>
            <w:gridSpan w:val="6"/>
            <w:tcBorders>
              <w:top w:val="single" w:sz="4" w:space="0" w:color="000000"/>
              <w:left w:val="single" w:sz="4" w:space="0" w:color="000000"/>
              <w:bottom w:val="single" w:sz="4" w:space="0" w:color="000000"/>
              <w:right w:val="single" w:sz="4" w:space="0" w:color="000000"/>
            </w:tcBorders>
            <w:vAlign w:val="center"/>
          </w:tcPr>
          <w:p w14:paraId="01BBBC81" w14:textId="68D35C64" w:rsidR="00665878" w:rsidRPr="002029AB" w:rsidRDefault="00665878" w:rsidP="00665878">
            <w:pPr>
              <w:tabs>
                <w:tab w:val="center" w:pos="4320"/>
                <w:tab w:val="right" w:pos="8640"/>
              </w:tabs>
              <w:rPr>
                <w:sz w:val="24"/>
                <w:szCs w:val="24"/>
              </w:rPr>
            </w:pPr>
            <w:r w:rsidRPr="002029AB">
              <w:rPr>
                <w:b/>
                <w:sz w:val="24"/>
                <w:szCs w:val="24"/>
              </w:rPr>
              <w:t xml:space="preserve">Број ЕСПБ: </w:t>
            </w:r>
            <w:r w:rsidRPr="002029AB">
              <w:rPr>
                <w:sz w:val="24"/>
                <w:szCs w:val="24"/>
              </w:rPr>
              <w:t>4</w:t>
            </w:r>
          </w:p>
        </w:tc>
      </w:tr>
      <w:tr w:rsidR="00665878" w:rsidRPr="002029AB" w14:paraId="67BB1E35" w14:textId="77777777" w:rsidTr="00741F5C">
        <w:tc>
          <w:tcPr>
            <w:tcW w:w="9854" w:type="dxa"/>
            <w:gridSpan w:val="6"/>
            <w:tcBorders>
              <w:top w:val="single" w:sz="4" w:space="0" w:color="000000"/>
              <w:left w:val="single" w:sz="4" w:space="0" w:color="000000"/>
              <w:bottom w:val="single" w:sz="4" w:space="0" w:color="000000"/>
              <w:right w:val="single" w:sz="4" w:space="0" w:color="000000"/>
            </w:tcBorders>
            <w:vAlign w:val="center"/>
          </w:tcPr>
          <w:p w14:paraId="6F2B35C8" w14:textId="13CD520B" w:rsidR="00665878" w:rsidRPr="002029AB" w:rsidRDefault="00665878" w:rsidP="00665878">
            <w:pPr>
              <w:tabs>
                <w:tab w:val="center" w:pos="4320"/>
                <w:tab w:val="right" w:pos="8640"/>
              </w:tabs>
              <w:rPr>
                <w:sz w:val="24"/>
                <w:szCs w:val="24"/>
                <w:lang w:val="sr-Cyrl-RS"/>
              </w:rPr>
            </w:pPr>
            <w:r w:rsidRPr="002029AB">
              <w:rPr>
                <w:b/>
                <w:sz w:val="24"/>
                <w:szCs w:val="24"/>
              </w:rPr>
              <w:t xml:space="preserve">Услов: </w:t>
            </w:r>
            <w:r w:rsidRPr="002029AB">
              <w:rPr>
                <w:sz w:val="24"/>
                <w:szCs w:val="24"/>
              </w:rPr>
              <w:t>Нема</w:t>
            </w:r>
          </w:p>
        </w:tc>
      </w:tr>
      <w:tr w:rsidR="00E71DBC" w:rsidRPr="002029AB" w14:paraId="053784B3" w14:textId="77777777">
        <w:tc>
          <w:tcPr>
            <w:tcW w:w="9854" w:type="dxa"/>
            <w:gridSpan w:val="6"/>
            <w:tcBorders>
              <w:top w:val="single" w:sz="4" w:space="0" w:color="000000"/>
              <w:left w:val="single" w:sz="4" w:space="0" w:color="000000"/>
              <w:bottom w:val="single" w:sz="4" w:space="0" w:color="000000"/>
              <w:right w:val="single" w:sz="4" w:space="0" w:color="000000"/>
            </w:tcBorders>
          </w:tcPr>
          <w:p w14:paraId="1082CE78" w14:textId="77777777" w:rsidR="00E71DBC" w:rsidRPr="002029AB" w:rsidRDefault="006173A3">
            <w:pPr>
              <w:tabs>
                <w:tab w:val="center" w:pos="4320"/>
                <w:tab w:val="right" w:pos="8640"/>
              </w:tabs>
              <w:rPr>
                <w:sz w:val="24"/>
                <w:szCs w:val="24"/>
              </w:rPr>
            </w:pPr>
            <w:r w:rsidRPr="002029AB">
              <w:rPr>
                <w:b/>
                <w:sz w:val="24"/>
                <w:szCs w:val="24"/>
              </w:rPr>
              <w:t xml:space="preserve">Циљ предмета: </w:t>
            </w:r>
            <w:r w:rsidRPr="002029AB">
              <w:rPr>
                <w:sz w:val="24"/>
                <w:szCs w:val="24"/>
              </w:rPr>
              <w:t>Развијање вештина разумевања,читања,говора и писања на енгле</w:t>
            </w:r>
            <w:r w:rsidRPr="002029AB">
              <w:rPr>
                <w:sz w:val="24"/>
                <w:szCs w:val="24"/>
              </w:rPr>
              <w:t>ском језику,  изучавање комплексних граматичких структура,упознавање са различитим функционалним стиловима, превођење и обогаћивање речника</w:t>
            </w:r>
          </w:p>
        </w:tc>
      </w:tr>
      <w:tr w:rsidR="00E71DBC" w:rsidRPr="002029AB" w14:paraId="66B8408D" w14:textId="77777777">
        <w:tc>
          <w:tcPr>
            <w:tcW w:w="9854" w:type="dxa"/>
            <w:gridSpan w:val="6"/>
            <w:tcBorders>
              <w:top w:val="single" w:sz="4" w:space="0" w:color="000000"/>
              <w:left w:val="single" w:sz="4" w:space="0" w:color="000000"/>
              <w:bottom w:val="single" w:sz="4" w:space="0" w:color="000000"/>
              <w:right w:val="single" w:sz="4" w:space="0" w:color="000000"/>
            </w:tcBorders>
          </w:tcPr>
          <w:p w14:paraId="3DEA75DC" w14:textId="77777777" w:rsidR="00E71DBC" w:rsidRPr="002029AB" w:rsidRDefault="006173A3">
            <w:pPr>
              <w:tabs>
                <w:tab w:val="center" w:pos="4320"/>
                <w:tab w:val="right" w:pos="8640"/>
              </w:tabs>
              <w:rPr>
                <w:sz w:val="24"/>
                <w:szCs w:val="24"/>
              </w:rPr>
            </w:pPr>
            <w:r w:rsidRPr="002029AB">
              <w:rPr>
                <w:b/>
                <w:sz w:val="24"/>
                <w:szCs w:val="24"/>
              </w:rPr>
              <w:t xml:space="preserve">Исход предмета : </w:t>
            </w:r>
            <w:r w:rsidRPr="002029AB">
              <w:rPr>
                <w:sz w:val="24"/>
                <w:szCs w:val="24"/>
              </w:rPr>
              <w:t>Оспособљаванје студената за самостално сналажење у енглеском језику говорног и писаног медијума ка</w:t>
            </w:r>
            <w:r w:rsidRPr="002029AB">
              <w:rPr>
                <w:sz w:val="24"/>
                <w:szCs w:val="24"/>
              </w:rPr>
              <w:t>о и превођење неадаптираних текстова струке</w:t>
            </w:r>
          </w:p>
        </w:tc>
      </w:tr>
      <w:tr w:rsidR="00E71DBC" w:rsidRPr="002029AB" w14:paraId="0884504B" w14:textId="77777777">
        <w:tc>
          <w:tcPr>
            <w:tcW w:w="9854" w:type="dxa"/>
            <w:gridSpan w:val="6"/>
            <w:tcBorders>
              <w:top w:val="single" w:sz="4" w:space="0" w:color="000000"/>
              <w:left w:val="single" w:sz="4" w:space="0" w:color="000000"/>
              <w:bottom w:val="single" w:sz="4" w:space="0" w:color="000000"/>
              <w:right w:val="single" w:sz="4" w:space="0" w:color="000000"/>
            </w:tcBorders>
          </w:tcPr>
          <w:p w14:paraId="459153F0" w14:textId="77777777" w:rsidR="00E71DBC" w:rsidRPr="002029AB" w:rsidRDefault="006173A3">
            <w:pPr>
              <w:tabs>
                <w:tab w:val="center" w:pos="4320"/>
                <w:tab w:val="right" w:pos="8640"/>
              </w:tabs>
              <w:rPr>
                <w:sz w:val="24"/>
                <w:szCs w:val="24"/>
              </w:rPr>
            </w:pPr>
            <w:r w:rsidRPr="002029AB">
              <w:rPr>
                <w:b/>
                <w:sz w:val="24"/>
                <w:szCs w:val="24"/>
              </w:rPr>
              <w:t>Садржај предмета</w:t>
            </w:r>
          </w:p>
          <w:p w14:paraId="734DFB8C" w14:textId="77777777" w:rsidR="00E71DBC" w:rsidRPr="002029AB" w:rsidRDefault="006173A3">
            <w:pPr>
              <w:tabs>
                <w:tab w:val="center" w:pos="4320"/>
                <w:tab w:val="right" w:pos="8640"/>
              </w:tabs>
              <w:rPr>
                <w:sz w:val="24"/>
                <w:szCs w:val="24"/>
              </w:rPr>
            </w:pPr>
            <w:r w:rsidRPr="002029AB">
              <w:rPr>
                <w:i/>
                <w:sz w:val="24"/>
                <w:szCs w:val="24"/>
              </w:rPr>
              <w:t>Теоријска настава:</w:t>
            </w:r>
          </w:p>
          <w:p w14:paraId="11B81024" w14:textId="77777777" w:rsidR="00E71DBC" w:rsidRPr="002029AB" w:rsidRDefault="006173A3">
            <w:pPr>
              <w:tabs>
                <w:tab w:val="center" w:pos="4320"/>
                <w:tab w:val="right" w:pos="8640"/>
              </w:tabs>
              <w:rPr>
                <w:sz w:val="24"/>
                <w:szCs w:val="24"/>
              </w:rPr>
            </w:pPr>
            <w:r w:rsidRPr="002029AB">
              <w:rPr>
                <w:sz w:val="24"/>
                <w:szCs w:val="24"/>
              </w:rPr>
              <w:t xml:space="preserve"> 1. Verb patterns, dependent prepostions. 2. Modalized phrase, Text analysis and translation 3. Real and unreal tense usage 4. Metaphors and idioms, Text analysis  5. Vocabulary building 6. Text analysis, discussion 7. Intensifying adverbs, Text analysis a</w:t>
            </w:r>
            <w:r w:rsidRPr="002029AB">
              <w:rPr>
                <w:sz w:val="24"/>
                <w:szCs w:val="24"/>
              </w:rPr>
              <w:t>nd translation 8. Relatives and participles 9. Compounding, Text analysis and translation 10. Linking devices, Composition 11. Synonyms and antonyms 2, Text analysis and translation 12.  Newspaper reports. Extracts from biographies 13. Varieties of English</w:t>
            </w:r>
            <w:r w:rsidRPr="002029AB">
              <w:rPr>
                <w:sz w:val="24"/>
                <w:szCs w:val="24"/>
              </w:rPr>
              <w:t xml:space="preserve"> 14. Specialist registers, Теxt analysis and translation 15 Revision </w:t>
            </w:r>
          </w:p>
          <w:p w14:paraId="5D4FE64E" w14:textId="77777777" w:rsidR="00E71DBC" w:rsidRPr="002029AB" w:rsidRDefault="00E71DBC">
            <w:pPr>
              <w:tabs>
                <w:tab w:val="center" w:pos="4320"/>
                <w:tab w:val="right" w:pos="8640"/>
              </w:tabs>
              <w:rPr>
                <w:sz w:val="24"/>
                <w:szCs w:val="24"/>
              </w:rPr>
            </w:pPr>
          </w:p>
          <w:p w14:paraId="5E9DECF1" w14:textId="77777777" w:rsidR="00947BE8" w:rsidRPr="00797A17" w:rsidRDefault="00947BE8" w:rsidP="00947BE8">
            <w:pPr>
              <w:tabs>
                <w:tab w:val="left" w:pos="567"/>
              </w:tabs>
              <w:spacing w:after="60"/>
              <w:rPr>
                <w:sz w:val="24"/>
                <w:szCs w:val="24"/>
              </w:rPr>
            </w:pPr>
            <w:r w:rsidRPr="00797A17">
              <w:rPr>
                <w:i/>
                <w:sz w:val="24"/>
                <w:szCs w:val="24"/>
              </w:rPr>
              <w:t xml:space="preserve">Практична настава </w:t>
            </w:r>
          </w:p>
          <w:p w14:paraId="73F491A5" w14:textId="6B97C931" w:rsidR="00E71DBC" w:rsidRPr="002029AB" w:rsidRDefault="00947BE8" w:rsidP="00947BE8">
            <w:pPr>
              <w:tabs>
                <w:tab w:val="center" w:pos="4320"/>
                <w:tab w:val="right" w:pos="8640"/>
              </w:tabs>
              <w:rPr>
                <w:sz w:val="24"/>
                <w:szCs w:val="24"/>
              </w:rPr>
            </w:pPr>
            <w:r w:rsidRPr="00797A17">
              <w:rPr>
                <w:sz w:val="24"/>
                <w:szCs w:val="24"/>
              </w:rPr>
              <w:t>Читање и превод текстова, разговор о тексту, пројектни рад (рад у групама), комуникација (рад у паровима), дискусије (рад у групи), писање неформалних и формалних писама и мејлова, нарација, биографија и писање описа људи, места и предмета.</w:t>
            </w:r>
          </w:p>
        </w:tc>
      </w:tr>
      <w:tr w:rsidR="00E71DBC" w:rsidRPr="002029AB" w14:paraId="13DBC191" w14:textId="77777777">
        <w:tc>
          <w:tcPr>
            <w:tcW w:w="9854" w:type="dxa"/>
            <w:gridSpan w:val="6"/>
            <w:tcBorders>
              <w:top w:val="single" w:sz="4" w:space="0" w:color="000000"/>
              <w:left w:val="single" w:sz="4" w:space="0" w:color="000000"/>
              <w:bottom w:val="single" w:sz="4" w:space="0" w:color="000000"/>
              <w:right w:val="single" w:sz="4" w:space="0" w:color="000000"/>
            </w:tcBorders>
          </w:tcPr>
          <w:p w14:paraId="57090FB5" w14:textId="77777777" w:rsidR="00E71DBC" w:rsidRPr="002029AB" w:rsidRDefault="006173A3">
            <w:pPr>
              <w:tabs>
                <w:tab w:val="center" w:pos="4320"/>
                <w:tab w:val="right" w:pos="8640"/>
              </w:tabs>
              <w:rPr>
                <w:sz w:val="24"/>
                <w:szCs w:val="24"/>
              </w:rPr>
            </w:pPr>
            <w:r w:rsidRPr="002029AB">
              <w:rPr>
                <w:b/>
                <w:sz w:val="24"/>
                <w:szCs w:val="24"/>
              </w:rPr>
              <w:t xml:space="preserve">Литература </w:t>
            </w:r>
          </w:p>
          <w:p w14:paraId="5A7C5070" w14:textId="3663666B" w:rsidR="0076394B" w:rsidRPr="002029AB" w:rsidRDefault="006173A3" w:rsidP="0076394B">
            <w:pPr>
              <w:tabs>
                <w:tab w:val="left" w:pos="567"/>
              </w:tabs>
              <w:jc w:val="both"/>
              <w:rPr>
                <w:sz w:val="24"/>
                <w:szCs w:val="24"/>
              </w:rPr>
            </w:pPr>
            <w:r w:rsidRPr="002029AB">
              <w:rPr>
                <w:sz w:val="24"/>
                <w:szCs w:val="24"/>
              </w:rPr>
              <w:t xml:space="preserve">1. </w:t>
            </w:r>
            <w:r w:rsidR="0076394B" w:rsidRPr="002029AB">
              <w:rPr>
                <w:sz w:val="24"/>
                <w:szCs w:val="24"/>
              </w:rPr>
              <w:t xml:space="preserve">Soars, L., &amp; Soars, J. </w:t>
            </w:r>
            <w:r w:rsidR="0076394B" w:rsidRPr="002029AB">
              <w:rPr>
                <w:i/>
                <w:sz w:val="24"/>
                <w:szCs w:val="24"/>
              </w:rPr>
              <w:t xml:space="preserve">New Headway - </w:t>
            </w:r>
            <w:r w:rsidR="0076394B" w:rsidRPr="002029AB">
              <w:rPr>
                <w:i/>
                <w:sz w:val="24"/>
                <w:szCs w:val="24"/>
                <w:lang w:val="sr-Latn-RS"/>
              </w:rPr>
              <w:t>Advanced</w:t>
            </w:r>
            <w:r w:rsidR="0076394B" w:rsidRPr="002029AB">
              <w:rPr>
                <w:i/>
                <w:sz w:val="24"/>
                <w:szCs w:val="24"/>
              </w:rPr>
              <w:t xml:space="preserve">. </w:t>
            </w:r>
            <w:r w:rsidR="0076394B" w:rsidRPr="002029AB">
              <w:rPr>
                <w:sz w:val="24"/>
                <w:szCs w:val="24"/>
              </w:rPr>
              <w:t>4</w:t>
            </w:r>
            <w:r w:rsidR="0076394B" w:rsidRPr="002029AB">
              <w:rPr>
                <w:sz w:val="24"/>
                <w:szCs w:val="24"/>
                <w:vertAlign w:val="superscript"/>
              </w:rPr>
              <w:t>th</w:t>
            </w:r>
            <w:r w:rsidR="0076394B" w:rsidRPr="002029AB">
              <w:rPr>
                <w:sz w:val="24"/>
                <w:szCs w:val="24"/>
              </w:rPr>
              <w:t xml:space="preserve"> edition</w:t>
            </w:r>
            <w:r w:rsidR="00227AF3">
              <w:rPr>
                <w:i/>
                <w:sz w:val="24"/>
                <w:szCs w:val="24"/>
                <w:lang w:val="sr-Latn-RS"/>
              </w:rPr>
              <w:t xml:space="preserve">. </w:t>
            </w:r>
            <w:r w:rsidR="0076394B" w:rsidRPr="002029AB">
              <w:rPr>
                <w:sz w:val="24"/>
                <w:szCs w:val="24"/>
              </w:rPr>
              <w:t>Oxford University Press. Student’s book</w:t>
            </w:r>
          </w:p>
          <w:p w14:paraId="6E26CCE6" w14:textId="6350116F" w:rsidR="0076394B" w:rsidRPr="002029AB" w:rsidRDefault="0076394B" w:rsidP="0076394B">
            <w:pPr>
              <w:tabs>
                <w:tab w:val="left" w:pos="567"/>
              </w:tabs>
              <w:jc w:val="both"/>
              <w:rPr>
                <w:sz w:val="24"/>
                <w:szCs w:val="24"/>
              </w:rPr>
            </w:pPr>
            <w:r w:rsidRPr="002029AB">
              <w:rPr>
                <w:sz w:val="24"/>
                <w:szCs w:val="24"/>
              </w:rPr>
              <w:t xml:space="preserve">2. Soars, L., &amp; Soars, J. </w:t>
            </w:r>
            <w:r w:rsidRPr="002029AB">
              <w:rPr>
                <w:i/>
                <w:sz w:val="24"/>
                <w:szCs w:val="24"/>
              </w:rPr>
              <w:t xml:space="preserve">New Headway - </w:t>
            </w:r>
            <w:r w:rsidRPr="002029AB">
              <w:rPr>
                <w:i/>
                <w:sz w:val="24"/>
                <w:szCs w:val="24"/>
                <w:lang w:val="sr-Latn-RS"/>
              </w:rPr>
              <w:t>Advanced</w:t>
            </w:r>
            <w:r w:rsidRPr="002029AB">
              <w:rPr>
                <w:i/>
                <w:sz w:val="24"/>
                <w:szCs w:val="24"/>
              </w:rPr>
              <w:t xml:space="preserve">. </w:t>
            </w:r>
            <w:r w:rsidRPr="002029AB">
              <w:rPr>
                <w:sz w:val="24"/>
                <w:szCs w:val="24"/>
              </w:rPr>
              <w:t>4</w:t>
            </w:r>
            <w:r w:rsidRPr="002029AB">
              <w:rPr>
                <w:sz w:val="24"/>
                <w:szCs w:val="24"/>
                <w:vertAlign w:val="superscript"/>
              </w:rPr>
              <w:t>th</w:t>
            </w:r>
            <w:r w:rsidRPr="002029AB">
              <w:rPr>
                <w:sz w:val="24"/>
                <w:szCs w:val="24"/>
              </w:rPr>
              <w:t xml:space="preserve"> edition</w:t>
            </w:r>
            <w:r w:rsidR="00227AF3">
              <w:rPr>
                <w:i/>
                <w:sz w:val="24"/>
                <w:szCs w:val="24"/>
                <w:lang w:val="sr-Latn-RS"/>
              </w:rPr>
              <w:t xml:space="preserve">. </w:t>
            </w:r>
            <w:r w:rsidRPr="002029AB">
              <w:rPr>
                <w:sz w:val="24"/>
                <w:szCs w:val="24"/>
              </w:rPr>
              <w:t>Oxford University Press. Workbook</w:t>
            </w:r>
          </w:p>
          <w:p w14:paraId="618F8931" w14:textId="77777777" w:rsidR="0076394B" w:rsidRPr="002029AB" w:rsidRDefault="0076394B" w:rsidP="0076394B">
            <w:pPr>
              <w:tabs>
                <w:tab w:val="left" w:pos="567"/>
              </w:tabs>
              <w:jc w:val="both"/>
              <w:rPr>
                <w:sz w:val="24"/>
                <w:szCs w:val="24"/>
              </w:rPr>
            </w:pPr>
            <w:r w:rsidRPr="002029AB">
              <w:rPr>
                <w:sz w:val="24"/>
                <w:szCs w:val="24"/>
              </w:rPr>
              <w:t xml:space="preserve">3. Murphy, R. (2019). </w:t>
            </w:r>
            <w:r w:rsidRPr="002029AB">
              <w:rPr>
                <w:i/>
                <w:sz w:val="24"/>
                <w:szCs w:val="24"/>
              </w:rPr>
              <w:t xml:space="preserve">English Grammar in Use. </w:t>
            </w:r>
            <w:r w:rsidRPr="002029AB">
              <w:rPr>
                <w:sz w:val="24"/>
                <w:szCs w:val="24"/>
              </w:rPr>
              <w:t>Cambridge: Cambridge University Press.</w:t>
            </w:r>
          </w:p>
          <w:p w14:paraId="5A8EFD88" w14:textId="43CDA17A" w:rsidR="0076394B" w:rsidRPr="002029AB" w:rsidRDefault="0076394B" w:rsidP="0076394B">
            <w:pPr>
              <w:tabs>
                <w:tab w:val="left" w:pos="567"/>
              </w:tabs>
              <w:jc w:val="both"/>
              <w:rPr>
                <w:sz w:val="24"/>
                <w:szCs w:val="24"/>
              </w:rPr>
            </w:pPr>
            <w:r w:rsidRPr="002029AB">
              <w:rPr>
                <w:sz w:val="24"/>
                <w:szCs w:val="24"/>
              </w:rPr>
              <w:t xml:space="preserve">4. Thomson, A. J., &amp; Martinet, A. V. (2007). </w:t>
            </w:r>
            <w:r w:rsidRPr="002029AB">
              <w:rPr>
                <w:i/>
                <w:sz w:val="24"/>
                <w:szCs w:val="24"/>
              </w:rPr>
              <w:t xml:space="preserve">A Practical English Grammar. </w:t>
            </w:r>
            <w:r w:rsidRPr="002029AB">
              <w:rPr>
                <w:sz w:val="24"/>
                <w:szCs w:val="24"/>
              </w:rPr>
              <w:t xml:space="preserve">Oxford University Press. </w:t>
            </w:r>
          </w:p>
          <w:p w14:paraId="6A046FC4" w14:textId="5BA9FF30" w:rsidR="00E71DBC" w:rsidRPr="002029AB" w:rsidRDefault="006173A3">
            <w:pPr>
              <w:rPr>
                <w:sz w:val="24"/>
                <w:szCs w:val="24"/>
              </w:rPr>
            </w:pPr>
            <w:r w:rsidRPr="002029AB">
              <w:rPr>
                <w:sz w:val="24"/>
                <w:szCs w:val="24"/>
              </w:rPr>
              <w:t>3.Virginia Evans</w:t>
            </w:r>
            <w:r w:rsidR="002029AB" w:rsidRPr="002029AB">
              <w:rPr>
                <w:sz w:val="24"/>
                <w:szCs w:val="24"/>
                <w:lang w:val="sr-Latn-RS"/>
              </w:rPr>
              <w:t>.</w:t>
            </w:r>
            <w:r w:rsidRPr="002029AB">
              <w:rPr>
                <w:i/>
                <w:sz w:val="24"/>
                <w:szCs w:val="24"/>
              </w:rPr>
              <w:t xml:space="preserve"> Successful Writing</w:t>
            </w:r>
            <w:r w:rsidRPr="002029AB">
              <w:rPr>
                <w:sz w:val="24"/>
                <w:szCs w:val="24"/>
              </w:rPr>
              <w:t>, Express Publishing</w:t>
            </w:r>
          </w:p>
          <w:p w14:paraId="47409688" w14:textId="77777777" w:rsidR="00E71DBC" w:rsidRPr="002029AB" w:rsidRDefault="006173A3">
            <w:pPr>
              <w:tabs>
                <w:tab w:val="center" w:pos="4320"/>
                <w:tab w:val="right" w:pos="8640"/>
              </w:tabs>
              <w:rPr>
                <w:sz w:val="24"/>
                <w:szCs w:val="24"/>
              </w:rPr>
            </w:pPr>
            <w:r w:rsidRPr="002029AB">
              <w:rPr>
                <w:sz w:val="24"/>
                <w:szCs w:val="24"/>
              </w:rPr>
              <w:t>4. одговарајући једно-језички речник (Oxford, Longman, Collins Cobuild)</w:t>
            </w:r>
          </w:p>
        </w:tc>
      </w:tr>
      <w:tr w:rsidR="004120BE" w:rsidRPr="002029AB" w14:paraId="183ED3F5" w14:textId="77777777" w:rsidTr="004120BE">
        <w:tc>
          <w:tcPr>
            <w:tcW w:w="3253" w:type="dxa"/>
            <w:tcBorders>
              <w:top w:val="single" w:sz="4" w:space="0" w:color="000000"/>
              <w:left w:val="single" w:sz="4" w:space="0" w:color="000000"/>
              <w:bottom w:val="single" w:sz="4" w:space="0" w:color="000000"/>
              <w:right w:val="single" w:sz="4" w:space="0" w:color="000000"/>
            </w:tcBorders>
            <w:vAlign w:val="center"/>
          </w:tcPr>
          <w:p w14:paraId="67F9BB17" w14:textId="547814B5" w:rsidR="004120BE" w:rsidRPr="002029AB" w:rsidRDefault="004120BE" w:rsidP="004120BE">
            <w:pPr>
              <w:tabs>
                <w:tab w:val="center" w:pos="4320"/>
                <w:tab w:val="right" w:pos="8640"/>
              </w:tabs>
              <w:rPr>
                <w:sz w:val="24"/>
                <w:szCs w:val="24"/>
                <w:lang w:val="sr-Cyrl-RS"/>
              </w:rPr>
            </w:pPr>
            <w:r w:rsidRPr="002029AB">
              <w:rPr>
                <w:b/>
                <w:sz w:val="24"/>
                <w:szCs w:val="24"/>
              </w:rPr>
              <w:t>Број часова  активне наставе</w:t>
            </w:r>
          </w:p>
        </w:tc>
        <w:tc>
          <w:tcPr>
            <w:tcW w:w="3690" w:type="dxa"/>
            <w:gridSpan w:val="3"/>
            <w:tcBorders>
              <w:top w:val="single" w:sz="4" w:space="0" w:color="000000"/>
              <w:left w:val="single" w:sz="4" w:space="0" w:color="000000"/>
              <w:bottom w:val="single" w:sz="4" w:space="0" w:color="000000"/>
              <w:right w:val="single" w:sz="4" w:space="0" w:color="000000"/>
            </w:tcBorders>
            <w:vAlign w:val="center"/>
          </w:tcPr>
          <w:p w14:paraId="67F99ED1" w14:textId="1DBF519A" w:rsidR="004120BE" w:rsidRPr="002029AB" w:rsidRDefault="004120BE" w:rsidP="004120BE">
            <w:pPr>
              <w:tabs>
                <w:tab w:val="center" w:pos="4320"/>
                <w:tab w:val="right" w:pos="8640"/>
              </w:tabs>
              <w:rPr>
                <w:sz w:val="24"/>
                <w:szCs w:val="24"/>
                <w:lang w:val="sr-Cyrl-RS"/>
              </w:rPr>
            </w:pPr>
            <w:r w:rsidRPr="002029AB">
              <w:rPr>
                <w:b/>
                <w:sz w:val="24"/>
                <w:szCs w:val="24"/>
              </w:rPr>
              <w:t>Теоријска настава: 2</w:t>
            </w:r>
          </w:p>
        </w:tc>
        <w:tc>
          <w:tcPr>
            <w:tcW w:w="2911" w:type="dxa"/>
            <w:gridSpan w:val="2"/>
            <w:tcBorders>
              <w:top w:val="single" w:sz="4" w:space="0" w:color="000000"/>
              <w:left w:val="single" w:sz="4" w:space="0" w:color="000000"/>
              <w:bottom w:val="single" w:sz="4" w:space="0" w:color="000000"/>
              <w:right w:val="single" w:sz="4" w:space="0" w:color="000000"/>
            </w:tcBorders>
            <w:vAlign w:val="center"/>
          </w:tcPr>
          <w:p w14:paraId="16BE2930" w14:textId="4FAA3F5C" w:rsidR="004120BE" w:rsidRPr="002029AB" w:rsidRDefault="004120BE" w:rsidP="004120BE">
            <w:pPr>
              <w:pBdr>
                <w:top w:val="nil"/>
                <w:left w:val="nil"/>
                <w:bottom w:val="nil"/>
                <w:right w:val="nil"/>
                <w:between w:val="nil"/>
              </w:pBdr>
              <w:spacing w:line="276" w:lineRule="auto"/>
              <w:rPr>
                <w:sz w:val="24"/>
                <w:szCs w:val="24"/>
              </w:rPr>
            </w:pPr>
            <w:r w:rsidRPr="002029AB">
              <w:rPr>
                <w:b/>
                <w:sz w:val="24"/>
                <w:szCs w:val="24"/>
              </w:rPr>
              <w:t>Практична настава: 2</w:t>
            </w:r>
          </w:p>
        </w:tc>
      </w:tr>
      <w:tr w:rsidR="00E71DBC" w:rsidRPr="002029AB" w14:paraId="7AF5F856" w14:textId="77777777">
        <w:tc>
          <w:tcPr>
            <w:tcW w:w="9854" w:type="dxa"/>
            <w:gridSpan w:val="6"/>
            <w:tcBorders>
              <w:top w:val="single" w:sz="4" w:space="0" w:color="000000"/>
              <w:left w:val="single" w:sz="4" w:space="0" w:color="000000"/>
              <w:bottom w:val="single" w:sz="4" w:space="0" w:color="000000"/>
              <w:right w:val="single" w:sz="4" w:space="0" w:color="000000"/>
            </w:tcBorders>
          </w:tcPr>
          <w:p w14:paraId="2AA444F3" w14:textId="72B087D7" w:rsidR="00E71DBC" w:rsidRPr="002029AB" w:rsidRDefault="006173A3" w:rsidP="002029AB">
            <w:pPr>
              <w:tabs>
                <w:tab w:val="center" w:pos="4320"/>
                <w:tab w:val="right" w:pos="8640"/>
              </w:tabs>
              <w:rPr>
                <w:sz w:val="24"/>
                <w:szCs w:val="24"/>
              </w:rPr>
            </w:pPr>
            <w:r w:rsidRPr="002029AB">
              <w:rPr>
                <w:b/>
                <w:sz w:val="24"/>
                <w:szCs w:val="24"/>
              </w:rPr>
              <w:t xml:space="preserve">Методе извођења наставе: </w:t>
            </w:r>
            <w:r w:rsidR="002029AB" w:rsidRPr="002029AB">
              <w:rPr>
                <w:bCs/>
                <w:sz w:val="24"/>
                <w:szCs w:val="24"/>
              </w:rPr>
              <w:t>Рад на тексту, рад у паровима, рад у групи, пројектни рад, дискусија, писање есеја, игра улога, рад уз примену рачунара/паметних телефона/таблета, хибридна настава и др.</w:t>
            </w:r>
          </w:p>
        </w:tc>
      </w:tr>
      <w:tr w:rsidR="00E71DBC" w:rsidRPr="002029AB" w14:paraId="7857C02C" w14:textId="77777777">
        <w:tc>
          <w:tcPr>
            <w:tcW w:w="9854" w:type="dxa"/>
            <w:gridSpan w:val="6"/>
            <w:tcBorders>
              <w:top w:val="single" w:sz="4" w:space="0" w:color="000000"/>
              <w:left w:val="single" w:sz="4" w:space="0" w:color="000000"/>
              <w:bottom w:val="single" w:sz="4" w:space="0" w:color="000000"/>
              <w:right w:val="single" w:sz="4" w:space="0" w:color="000000"/>
            </w:tcBorders>
          </w:tcPr>
          <w:p w14:paraId="4945082F" w14:textId="77777777" w:rsidR="00E71DBC" w:rsidRPr="002029AB" w:rsidRDefault="006173A3">
            <w:pPr>
              <w:tabs>
                <w:tab w:val="center" w:pos="4320"/>
                <w:tab w:val="right" w:pos="8640"/>
              </w:tabs>
              <w:jc w:val="center"/>
              <w:rPr>
                <w:sz w:val="24"/>
                <w:szCs w:val="24"/>
              </w:rPr>
            </w:pPr>
            <w:r w:rsidRPr="002029AB">
              <w:rPr>
                <w:b/>
                <w:sz w:val="24"/>
                <w:szCs w:val="24"/>
              </w:rPr>
              <w:t>Оцена  знања (максимални број поена 100)</w:t>
            </w:r>
          </w:p>
        </w:tc>
      </w:tr>
      <w:tr w:rsidR="00E71DBC" w:rsidRPr="002029AB" w14:paraId="5E44139E" w14:textId="77777777">
        <w:tc>
          <w:tcPr>
            <w:tcW w:w="3433" w:type="dxa"/>
            <w:gridSpan w:val="2"/>
            <w:tcBorders>
              <w:top w:val="single" w:sz="4" w:space="0" w:color="000000"/>
              <w:left w:val="single" w:sz="4" w:space="0" w:color="000000"/>
              <w:bottom w:val="single" w:sz="4" w:space="0" w:color="000000"/>
              <w:right w:val="single" w:sz="4" w:space="0" w:color="000000"/>
            </w:tcBorders>
          </w:tcPr>
          <w:p w14:paraId="597454AA" w14:textId="77777777" w:rsidR="00E71DBC" w:rsidRPr="002029AB" w:rsidRDefault="006173A3">
            <w:pPr>
              <w:tabs>
                <w:tab w:val="center" w:pos="4320"/>
                <w:tab w:val="right" w:pos="8640"/>
              </w:tabs>
              <w:rPr>
                <w:sz w:val="24"/>
                <w:szCs w:val="24"/>
              </w:rPr>
            </w:pPr>
            <w:r w:rsidRPr="002029AB">
              <w:rPr>
                <w:b/>
                <w:sz w:val="24"/>
                <w:szCs w:val="24"/>
              </w:rPr>
              <w:t>Предиспитне обавезе</w:t>
            </w:r>
          </w:p>
        </w:tc>
        <w:tc>
          <w:tcPr>
            <w:tcW w:w="1895" w:type="dxa"/>
            <w:tcBorders>
              <w:top w:val="single" w:sz="4" w:space="0" w:color="000000"/>
              <w:left w:val="single" w:sz="4" w:space="0" w:color="000000"/>
              <w:bottom w:val="single" w:sz="4" w:space="0" w:color="000000"/>
              <w:right w:val="single" w:sz="4" w:space="0" w:color="000000"/>
            </w:tcBorders>
          </w:tcPr>
          <w:p w14:paraId="5EE0E130" w14:textId="77777777" w:rsidR="00E71DBC" w:rsidRPr="002029AB" w:rsidRDefault="006173A3">
            <w:pPr>
              <w:tabs>
                <w:tab w:val="center" w:pos="4320"/>
                <w:tab w:val="right" w:pos="8640"/>
              </w:tabs>
              <w:rPr>
                <w:sz w:val="24"/>
                <w:szCs w:val="24"/>
              </w:rPr>
            </w:pPr>
            <w:r w:rsidRPr="002029AB">
              <w:rPr>
                <w:b/>
                <w:sz w:val="24"/>
                <w:szCs w:val="24"/>
              </w:rPr>
              <w:t>поена</w:t>
            </w:r>
          </w:p>
        </w:tc>
        <w:tc>
          <w:tcPr>
            <w:tcW w:w="3255" w:type="dxa"/>
            <w:gridSpan w:val="2"/>
            <w:tcBorders>
              <w:top w:val="single" w:sz="4" w:space="0" w:color="000000"/>
              <w:left w:val="single" w:sz="4" w:space="0" w:color="000000"/>
              <w:bottom w:val="single" w:sz="4" w:space="0" w:color="000000"/>
              <w:right w:val="single" w:sz="4" w:space="0" w:color="000000"/>
            </w:tcBorders>
          </w:tcPr>
          <w:p w14:paraId="742BC9B3" w14:textId="77777777" w:rsidR="00E71DBC" w:rsidRPr="002029AB" w:rsidRDefault="006173A3">
            <w:pPr>
              <w:tabs>
                <w:tab w:val="center" w:pos="4320"/>
                <w:tab w:val="right" w:pos="8640"/>
              </w:tabs>
              <w:rPr>
                <w:sz w:val="24"/>
                <w:szCs w:val="24"/>
              </w:rPr>
            </w:pPr>
            <w:r w:rsidRPr="002029AB">
              <w:rPr>
                <w:sz w:val="24"/>
                <w:szCs w:val="24"/>
              </w:rPr>
              <w:t xml:space="preserve">Завршни испит </w:t>
            </w:r>
          </w:p>
        </w:tc>
        <w:tc>
          <w:tcPr>
            <w:tcW w:w="1271" w:type="dxa"/>
            <w:tcBorders>
              <w:top w:val="single" w:sz="4" w:space="0" w:color="000000"/>
              <w:left w:val="single" w:sz="4" w:space="0" w:color="000000"/>
              <w:bottom w:val="single" w:sz="4" w:space="0" w:color="000000"/>
              <w:right w:val="single" w:sz="4" w:space="0" w:color="000000"/>
            </w:tcBorders>
          </w:tcPr>
          <w:p w14:paraId="4EE5BB02" w14:textId="77777777" w:rsidR="00E71DBC" w:rsidRPr="002029AB" w:rsidRDefault="006173A3">
            <w:pPr>
              <w:tabs>
                <w:tab w:val="center" w:pos="4320"/>
                <w:tab w:val="right" w:pos="8640"/>
              </w:tabs>
              <w:rPr>
                <w:sz w:val="24"/>
                <w:szCs w:val="24"/>
              </w:rPr>
            </w:pPr>
            <w:r w:rsidRPr="002029AB">
              <w:rPr>
                <w:i/>
                <w:sz w:val="24"/>
                <w:szCs w:val="24"/>
              </w:rPr>
              <w:t>поена</w:t>
            </w:r>
          </w:p>
        </w:tc>
      </w:tr>
      <w:tr w:rsidR="00E71DBC" w:rsidRPr="002029AB" w14:paraId="2FAC0691" w14:textId="77777777">
        <w:tc>
          <w:tcPr>
            <w:tcW w:w="3433" w:type="dxa"/>
            <w:gridSpan w:val="2"/>
            <w:tcBorders>
              <w:top w:val="single" w:sz="4" w:space="0" w:color="000000"/>
              <w:left w:val="single" w:sz="4" w:space="0" w:color="000000"/>
              <w:bottom w:val="single" w:sz="4" w:space="0" w:color="000000"/>
              <w:right w:val="single" w:sz="4" w:space="0" w:color="000000"/>
            </w:tcBorders>
          </w:tcPr>
          <w:p w14:paraId="74B170B5" w14:textId="77777777" w:rsidR="00E71DBC" w:rsidRPr="002029AB" w:rsidRDefault="006173A3">
            <w:pPr>
              <w:tabs>
                <w:tab w:val="center" w:pos="4320"/>
                <w:tab w:val="right" w:pos="8640"/>
              </w:tabs>
              <w:rPr>
                <w:sz w:val="24"/>
                <w:szCs w:val="24"/>
              </w:rPr>
            </w:pPr>
            <w:r w:rsidRPr="002029AB">
              <w:rPr>
                <w:sz w:val="24"/>
                <w:szCs w:val="24"/>
              </w:rPr>
              <w:t>активност у току предавања</w:t>
            </w:r>
          </w:p>
        </w:tc>
        <w:tc>
          <w:tcPr>
            <w:tcW w:w="1895" w:type="dxa"/>
            <w:tcBorders>
              <w:top w:val="single" w:sz="4" w:space="0" w:color="000000"/>
              <w:left w:val="single" w:sz="4" w:space="0" w:color="000000"/>
              <w:bottom w:val="single" w:sz="4" w:space="0" w:color="000000"/>
              <w:right w:val="single" w:sz="4" w:space="0" w:color="000000"/>
            </w:tcBorders>
          </w:tcPr>
          <w:p w14:paraId="563DC790" w14:textId="5F311DF4" w:rsidR="00E71DBC" w:rsidRPr="002029AB" w:rsidRDefault="002D7CAD">
            <w:pPr>
              <w:tabs>
                <w:tab w:val="center" w:pos="4320"/>
                <w:tab w:val="right" w:pos="8640"/>
              </w:tabs>
              <w:rPr>
                <w:bCs/>
                <w:sz w:val="24"/>
                <w:szCs w:val="24"/>
                <w:lang w:val="sr-Cyrl-RS"/>
              </w:rPr>
            </w:pPr>
            <w:r w:rsidRPr="002029AB">
              <w:rPr>
                <w:bCs/>
                <w:sz w:val="24"/>
                <w:szCs w:val="24"/>
                <w:lang w:val="sr-Cyrl-RS"/>
              </w:rPr>
              <w:t>5</w:t>
            </w:r>
          </w:p>
        </w:tc>
        <w:tc>
          <w:tcPr>
            <w:tcW w:w="3255" w:type="dxa"/>
            <w:gridSpan w:val="2"/>
            <w:tcBorders>
              <w:top w:val="single" w:sz="4" w:space="0" w:color="000000"/>
              <w:left w:val="single" w:sz="4" w:space="0" w:color="000000"/>
              <w:bottom w:val="single" w:sz="4" w:space="0" w:color="000000"/>
              <w:right w:val="single" w:sz="4" w:space="0" w:color="000000"/>
            </w:tcBorders>
          </w:tcPr>
          <w:p w14:paraId="1B1DCA3D" w14:textId="77777777" w:rsidR="00E71DBC" w:rsidRPr="002029AB" w:rsidRDefault="006173A3">
            <w:pPr>
              <w:tabs>
                <w:tab w:val="center" w:pos="4320"/>
                <w:tab w:val="right" w:pos="8640"/>
              </w:tabs>
              <w:rPr>
                <w:sz w:val="24"/>
                <w:szCs w:val="24"/>
              </w:rPr>
            </w:pPr>
            <w:r w:rsidRPr="002029AB">
              <w:rPr>
                <w:sz w:val="24"/>
                <w:szCs w:val="24"/>
              </w:rPr>
              <w:t>писмени испит</w:t>
            </w:r>
          </w:p>
        </w:tc>
        <w:tc>
          <w:tcPr>
            <w:tcW w:w="1271" w:type="dxa"/>
            <w:tcBorders>
              <w:top w:val="single" w:sz="4" w:space="0" w:color="000000"/>
              <w:left w:val="single" w:sz="4" w:space="0" w:color="000000"/>
              <w:bottom w:val="single" w:sz="4" w:space="0" w:color="000000"/>
              <w:right w:val="single" w:sz="4" w:space="0" w:color="000000"/>
            </w:tcBorders>
          </w:tcPr>
          <w:p w14:paraId="60E4415A" w14:textId="27876BAA" w:rsidR="00E71DBC" w:rsidRPr="002029AB" w:rsidRDefault="002D7CAD">
            <w:pPr>
              <w:tabs>
                <w:tab w:val="center" w:pos="4320"/>
                <w:tab w:val="right" w:pos="8640"/>
              </w:tabs>
              <w:rPr>
                <w:bCs/>
                <w:sz w:val="24"/>
                <w:szCs w:val="24"/>
              </w:rPr>
            </w:pPr>
            <w:r w:rsidRPr="002029AB">
              <w:rPr>
                <w:bCs/>
                <w:sz w:val="24"/>
                <w:szCs w:val="24"/>
                <w:lang w:val="sr-Cyrl-RS"/>
              </w:rPr>
              <w:t>3</w:t>
            </w:r>
            <w:r w:rsidR="006173A3" w:rsidRPr="002029AB">
              <w:rPr>
                <w:bCs/>
                <w:sz w:val="24"/>
                <w:szCs w:val="24"/>
              </w:rPr>
              <w:t>0</w:t>
            </w:r>
          </w:p>
        </w:tc>
      </w:tr>
      <w:tr w:rsidR="00E71DBC" w:rsidRPr="002029AB" w14:paraId="5A3FDE75" w14:textId="77777777">
        <w:tc>
          <w:tcPr>
            <w:tcW w:w="3433" w:type="dxa"/>
            <w:gridSpan w:val="2"/>
            <w:tcBorders>
              <w:top w:val="single" w:sz="4" w:space="0" w:color="000000"/>
              <w:left w:val="single" w:sz="4" w:space="0" w:color="000000"/>
              <w:bottom w:val="single" w:sz="4" w:space="0" w:color="000000"/>
              <w:right w:val="single" w:sz="4" w:space="0" w:color="000000"/>
            </w:tcBorders>
          </w:tcPr>
          <w:p w14:paraId="7584BF97" w14:textId="77777777" w:rsidR="00E71DBC" w:rsidRPr="002029AB" w:rsidRDefault="006173A3">
            <w:pPr>
              <w:tabs>
                <w:tab w:val="center" w:pos="4320"/>
                <w:tab w:val="right" w:pos="8640"/>
              </w:tabs>
              <w:rPr>
                <w:sz w:val="24"/>
                <w:szCs w:val="24"/>
              </w:rPr>
            </w:pPr>
            <w:r w:rsidRPr="002029AB">
              <w:rPr>
                <w:sz w:val="24"/>
                <w:szCs w:val="24"/>
              </w:rPr>
              <w:t>практична настава</w:t>
            </w:r>
          </w:p>
        </w:tc>
        <w:tc>
          <w:tcPr>
            <w:tcW w:w="1895" w:type="dxa"/>
            <w:tcBorders>
              <w:top w:val="single" w:sz="4" w:space="0" w:color="000000"/>
              <w:left w:val="single" w:sz="4" w:space="0" w:color="000000"/>
              <w:bottom w:val="single" w:sz="4" w:space="0" w:color="000000"/>
              <w:right w:val="single" w:sz="4" w:space="0" w:color="000000"/>
            </w:tcBorders>
          </w:tcPr>
          <w:p w14:paraId="00B6F8AC" w14:textId="7A56F62D" w:rsidR="00E71DBC" w:rsidRPr="002029AB" w:rsidRDefault="002D7CAD">
            <w:pPr>
              <w:tabs>
                <w:tab w:val="center" w:pos="4320"/>
                <w:tab w:val="right" w:pos="8640"/>
              </w:tabs>
              <w:rPr>
                <w:bCs/>
                <w:sz w:val="24"/>
                <w:szCs w:val="24"/>
                <w:lang w:val="sr-Cyrl-RS"/>
              </w:rPr>
            </w:pPr>
            <w:r w:rsidRPr="002029AB">
              <w:rPr>
                <w:bCs/>
                <w:sz w:val="24"/>
                <w:szCs w:val="24"/>
                <w:lang w:val="sr-Cyrl-RS"/>
              </w:rPr>
              <w:t>5</w:t>
            </w:r>
          </w:p>
        </w:tc>
        <w:tc>
          <w:tcPr>
            <w:tcW w:w="3255" w:type="dxa"/>
            <w:gridSpan w:val="2"/>
            <w:tcBorders>
              <w:top w:val="single" w:sz="4" w:space="0" w:color="000000"/>
              <w:left w:val="single" w:sz="4" w:space="0" w:color="000000"/>
              <w:bottom w:val="single" w:sz="4" w:space="0" w:color="000000"/>
              <w:right w:val="single" w:sz="4" w:space="0" w:color="000000"/>
            </w:tcBorders>
          </w:tcPr>
          <w:p w14:paraId="066E98DB" w14:textId="77777777" w:rsidR="00E71DBC" w:rsidRPr="002029AB" w:rsidRDefault="006173A3">
            <w:pPr>
              <w:tabs>
                <w:tab w:val="center" w:pos="4320"/>
                <w:tab w:val="right" w:pos="8640"/>
              </w:tabs>
              <w:rPr>
                <w:sz w:val="24"/>
                <w:szCs w:val="24"/>
              </w:rPr>
            </w:pPr>
            <w:r w:rsidRPr="002029AB">
              <w:rPr>
                <w:sz w:val="24"/>
                <w:szCs w:val="24"/>
              </w:rPr>
              <w:t>усмени испит</w:t>
            </w:r>
          </w:p>
        </w:tc>
        <w:tc>
          <w:tcPr>
            <w:tcW w:w="1271" w:type="dxa"/>
            <w:tcBorders>
              <w:top w:val="single" w:sz="4" w:space="0" w:color="000000"/>
              <w:left w:val="single" w:sz="4" w:space="0" w:color="000000"/>
              <w:bottom w:val="single" w:sz="4" w:space="0" w:color="000000"/>
              <w:right w:val="single" w:sz="4" w:space="0" w:color="000000"/>
            </w:tcBorders>
          </w:tcPr>
          <w:p w14:paraId="5BEAD024" w14:textId="7D55900C" w:rsidR="00E71DBC" w:rsidRPr="002029AB" w:rsidRDefault="002D7CAD">
            <w:pPr>
              <w:tabs>
                <w:tab w:val="center" w:pos="4320"/>
                <w:tab w:val="right" w:pos="8640"/>
              </w:tabs>
              <w:rPr>
                <w:bCs/>
                <w:sz w:val="24"/>
                <w:szCs w:val="24"/>
              </w:rPr>
            </w:pPr>
            <w:r w:rsidRPr="002029AB">
              <w:rPr>
                <w:bCs/>
                <w:sz w:val="24"/>
                <w:szCs w:val="24"/>
                <w:lang w:val="sr-Cyrl-RS"/>
              </w:rPr>
              <w:t>3</w:t>
            </w:r>
            <w:r w:rsidR="006173A3" w:rsidRPr="002029AB">
              <w:rPr>
                <w:bCs/>
                <w:sz w:val="24"/>
                <w:szCs w:val="24"/>
              </w:rPr>
              <w:t>0</w:t>
            </w:r>
          </w:p>
        </w:tc>
      </w:tr>
      <w:tr w:rsidR="00E71DBC" w:rsidRPr="002029AB" w14:paraId="618C32C5" w14:textId="77777777">
        <w:tc>
          <w:tcPr>
            <w:tcW w:w="3433" w:type="dxa"/>
            <w:gridSpan w:val="2"/>
            <w:tcBorders>
              <w:top w:val="single" w:sz="4" w:space="0" w:color="000000"/>
              <w:left w:val="single" w:sz="4" w:space="0" w:color="000000"/>
              <w:bottom w:val="single" w:sz="4" w:space="0" w:color="000000"/>
              <w:right w:val="single" w:sz="4" w:space="0" w:color="000000"/>
            </w:tcBorders>
          </w:tcPr>
          <w:p w14:paraId="5F46263D" w14:textId="77777777" w:rsidR="00E71DBC" w:rsidRPr="002029AB" w:rsidRDefault="006173A3">
            <w:pPr>
              <w:tabs>
                <w:tab w:val="center" w:pos="4320"/>
                <w:tab w:val="right" w:pos="8640"/>
              </w:tabs>
              <w:rPr>
                <w:sz w:val="24"/>
                <w:szCs w:val="24"/>
              </w:rPr>
            </w:pPr>
            <w:r w:rsidRPr="002029AB">
              <w:rPr>
                <w:sz w:val="24"/>
                <w:szCs w:val="24"/>
              </w:rPr>
              <w:t>колоквијум-и</w:t>
            </w:r>
          </w:p>
        </w:tc>
        <w:tc>
          <w:tcPr>
            <w:tcW w:w="1895" w:type="dxa"/>
            <w:tcBorders>
              <w:top w:val="single" w:sz="4" w:space="0" w:color="000000"/>
              <w:left w:val="single" w:sz="4" w:space="0" w:color="000000"/>
              <w:bottom w:val="single" w:sz="4" w:space="0" w:color="000000"/>
              <w:right w:val="single" w:sz="4" w:space="0" w:color="000000"/>
            </w:tcBorders>
          </w:tcPr>
          <w:p w14:paraId="2135D60B" w14:textId="77777777" w:rsidR="00E71DBC" w:rsidRPr="002029AB" w:rsidRDefault="006173A3">
            <w:pPr>
              <w:tabs>
                <w:tab w:val="center" w:pos="4320"/>
                <w:tab w:val="right" w:pos="8640"/>
              </w:tabs>
              <w:rPr>
                <w:bCs/>
                <w:sz w:val="24"/>
                <w:szCs w:val="24"/>
              </w:rPr>
            </w:pPr>
            <w:r w:rsidRPr="002029AB">
              <w:rPr>
                <w:bCs/>
                <w:sz w:val="24"/>
                <w:szCs w:val="24"/>
              </w:rPr>
              <w:t>30</w:t>
            </w:r>
          </w:p>
        </w:tc>
        <w:tc>
          <w:tcPr>
            <w:tcW w:w="3255" w:type="dxa"/>
            <w:gridSpan w:val="2"/>
            <w:tcBorders>
              <w:top w:val="single" w:sz="4" w:space="0" w:color="000000"/>
              <w:left w:val="single" w:sz="4" w:space="0" w:color="000000"/>
              <w:bottom w:val="single" w:sz="4" w:space="0" w:color="000000"/>
              <w:right w:val="single" w:sz="4" w:space="0" w:color="000000"/>
            </w:tcBorders>
          </w:tcPr>
          <w:p w14:paraId="29611C58" w14:textId="77777777" w:rsidR="00E71DBC" w:rsidRPr="002029AB" w:rsidRDefault="00E71DBC">
            <w:pPr>
              <w:tabs>
                <w:tab w:val="center" w:pos="4320"/>
                <w:tab w:val="right" w:pos="8640"/>
              </w:tabs>
              <w:rPr>
                <w:sz w:val="24"/>
                <w:szCs w:val="24"/>
              </w:rPr>
            </w:pPr>
          </w:p>
        </w:tc>
        <w:tc>
          <w:tcPr>
            <w:tcW w:w="1271" w:type="dxa"/>
            <w:tcBorders>
              <w:top w:val="single" w:sz="4" w:space="0" w:color="000000"/>
              <w:left w:val="single" w:sz="4" w:space="0" w:color="000000"/>
              <w:bottom w:val="single" w:sz="4" w:space="0" w:color="000000"/>
              <w:right w:val="single" w:sz="4" w:space="0" w:color="000000"/>
            </w:tcBorders>
          </w:tcPr>
          <w:p w14:paraId="0D89263A" w14:textId="77777777" w:rsidR="00E71DBC" w:rsidRPr="002029AB" w:rsidRDefault="00E71DBC">
            <w:pPr>
              <w:tabs>
                <w:tab w:val="center" w:pos="4320"/>
                <w:tab w:val="right" w:pos="8640"/>
              </w:tabs>
              <w:rPr>
                <w:sz w:val="24"/>
                <w:szCs w:val="24"/>
              </w:rPr>
            </w:pPr>
          </w:p>
        </w:tc>
      </w:tr>
      <w:tr w:rsidR="00E71DBC" w:rsidRPr="002029AB" w14:paraId="61A05955" w14:textId="77777777">
        <w:tc>
          <w:tcPr>
            <w:tcW w:w="3433" w:type="dxa"/>
            <w:gridSpan w:val="2"/>
            <w:tcBorders>
              <w:top w:val="single" w:sz="4" w:space="0" w:color="000000"/>
              <w:left w:val="single" w:sz="4" w:space="0" w:color="000000"/>
              <w:bottom w:val="single" w:sz="4" w:space="0" w:color="000000"/>
              <w:right w:val="single" w:sz="4" w:space="0" w:color="000000"/>
            </w:tcBorders>
          </w:tcPr>
          <w:p w14:paraId="5A849624" w14:textId="77777777" w:rsidR="00E71DBC" w:rsidRPr="002029AB" w:rsidRDefault="006173A3">
            <w:pPr>
              <w:tabs>
                <w:tab w:val="center" w:pos="4320"/>
                <w:tab w:val="right" w:pos="8640"/>
              </w:tabs>
              <w:rPr>
                <w:sz w:val="24"/>
                <w:szCs w:val="24"/>
              </w:rPr>
            </w:pPr>
            <w:r w:rsidRPr="002029AB">
              <w:rPr>
                <w:sz w:val="24"/>
                <w:szCs w:val="24"/>
              </w:rPr>
              <w:t>семинар-и</w:t>
            </w:r>
          </w:p>
        </w:tc>
        <w:tc>
          <w:tcPr>
            <w:tcW w:w="1895" w:type="dxa"/>
            <w:tcBorders>
              <w:top w:val="single" w:sz="4" w:space="0" w:color="000000"/>
              <w:left w:val="single" w:sz="4" w:space="0" w:color="000000"/>
              <w:bottom w:val="single" w:sz="4" w:space="0" w:color="000000"/>
              <w:right w:val="single" w:sz="4" w:space="0" w:color="000000"/>
            </w:tcBorders>
          </w:tcPr>
          <w:p w14:paraId="2B80D678" w14:textId="77777777" w:rsidR="00E71DBC" w:rsidRPr="002029AB" w:rsidRDefault="00E71DBC">
            <w:pPr>
              <w:tabs>
                <w:tab w:val="center" w:pos="4320"/>
                <w:tab w:val="right" w:pos="8640"/>
              </w:tabs>
              <w:rPr>
                <w:sz w:val="24"/>
                <w:szCs w:val="24"/>
              </w:rPr>
            </w:pPr>
          </w:p>
        </w:tc>
        <w:tc>
          <w:tcPr>
            <w:tcW w:w="3255" w:type="dxa"/>
            <w:gridSpan w:val="2"/>
            <w:tcBorders>
              <w:top w:val="single" w:sz="4" w:space="0" w:color="000000"/>
              <w:left w:val="single" w:sz="4" w:space="0" w:color="000000"/>
              <w:bottom w:val="single" w:sz="4" w:space="0" w:color="000000"/>
              <w:right w:val="single" w:sz="4" w:space="0" w:color="000000"/>
            </w:tcBorders>
          </w:tcPr>
          <w:p w14:paraId="08B088F2" w14:textId="77777777" w:rsidR="00E71DBC" w:rsidRPr="002029AB" w:rsidRDefault="00E71DBC">
            <w:pPr>
              <w:tabs>
                <w:tab w:val="center" w:pos="4320"/>
                <w:tab w:val="right" w:pos="8640"/>
              </w:tabs>
              <w:rPr>
                <w:sz w:val="24"/>
                <w:szCs w:val="24"/>
              </w:rPr>
            </w:pPr>
          </w:p>
        </w:tc>
        <w:tc>
          <w:tcPr>
            <w:tcW w:w="1271" w:type="dxa"/>
            <w:tcBorders>
              <w:top w:val="single" w:sz="4" w:space="0" w:color="000000"/>
              <w:left w:val="single" w:sz="4" w:space="0" w:color="000000"/>
              <w:bottom w:val="single" w:sz="4" w:space="0" w:color="000000"/>
              <w:right w:val="single" w:sz="4" w:space="0" w:color="000000"/>
            </w:tcBorders>
          </w:tcPr>
          <w:p w14:paraId="77826D19" w14:textId="77777777" w:rsidR="00E71DBC" w:rsidRPr="002029AB" w:rsidRDefault="00E71DBC">
            <w:pPr>
              <w:tabs>
                <w:tab w:val="center" w:pos="4320"/>
                <w:tab w:val="right" w:pos="8640"/>
              </w:tabs>
              <w:rPr>
                <w:sz w:val="24"/>
                <w:szCs w:val="24"/>
              </w:rPr>
            </w:pPr>
          </w:p>
        </w:tc>
      </w:tr>
    </w:tbl>
    <w:p w14:paraId="313B6D88" w14:textId="77777777" w:rsidR="00E71DBC" w:rsidRPr="002029AB" w:rsidRDefault="00E71DBC">
      <w:pPr>
        <w:rPr>
          <w:sz w:val="24"/>
          <w:szCs w:val="24"/>
        </w:rPr>
      </w:pPr>
    </w:p>
    <w:sectPr w:rsidR="00E71DBC" w:rsidRPr="002029AB">
      <w:headerReference w:type="default" r:id="rId6"/>
      <w:footerReference w:type="default" r:id="rId7"/>
      <w:pgSz w:w="11907" w:h="16840"/>
      <w:pgMar w:top="1134" w:right="851" w:bottom="1134" w:left="1418" w:header="113"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DC3C5" w14:textId="77777777" w:rsidR="006173A3" w:rsidRDefault="006173A3">
      <w:r>
        <w:separator/>
      </w:r>
    </w:p>
  </w:endnote>
  <w:endnote w:type="continuationSeparator" w:id="0">
    <w:p w14:paraId="79C3D8FD" w14:textId="77777777" w:rsidR="006173A3" w:rsidRDefault="0061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79F27" w14:textId="77777777" w:rsidR="00E71DBC" w:rsidRDefault="006173A3">
    <w:pPr>
      <w:pBdr>
        <w:top w:val="nil"/>
        <w:left w:val="nil"/>
        <w:bottom w:val="nil"/>
        <w:right w:val="nil"/>
        <w:between w:val="nil"/>
      </w:pBdr>
      <w:jc w:val="center"/>
      <w:rPr>
        <w:color w:val="000000"/>
      </w:rPr>
    </w:pPr>
    <w:hyperlink r:id="rId1">
      <w:r>
        <w:rPr>
          <w:color w:val="0000FF"/>
          <w:u w:val="single"/>
        </w:rPr>
        <w:t>www.filfak.ni.ac.rs</w:t>
      </w:r>
    </w:hyperlink>
  </w:p>
  <w:p w14:paraId="20B17250" w14:textId="77777777" w:rsidR="00E71DBC" w:rsidRDefault="00E71DBC">
    <w:pPr>
      <w:pBdr>
        <w:top w:val="nil"/>
        <w:left w:val="nil"/>
        <w:bottom w:val="nil"/>
        <w:right w:val="nil"/>
        <w:between w:val="nil"/>
      </w:pBdr>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D5F3D" w14:textId="77777777" w:rsidR="006173A3" w:rsidRDefault="006173A3">
      <w:r>
        <w:separator/>
      </w:r>
    </w:p>
  </w:footnote>
  <w:footnote w:type="continuationSeparator" w:id="0">
    <w:p w14:paraId="7D45FE55" w14:textId="77777777" w:rsidR="006173A3" w:rsidRDefault="00617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3BC5A" w14:textId="77777777" w:rsidR="00E71DBC" w:rsidRDefault="006173A3">
    <w:pPr>
      <w:pBdr>
        <w:top w:val="nil"/>
        <w:left w:val="nil"/>
        <w:bottom w:val="nil"/>
        <w:right w:val="nil"/>
        <w:between w:val="nil"/>
      </w:pBdr>
      <w:rPr>
        <w:color w:val="000000"/>
      </w:rPr>
    </w:pPr>
    <w:r>
      <w:rPr>
        <w:color w:val="000000"/>
      </w:rPr>
      <w:t xml:space="preserve">         </w:t>
    </w:r>
  </w:p>
  <w:tbl>
    <w:tblPr>
      <w:tblStyle w:val="a0"/>
      <w:tblW w:w="96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5"/>
      <w:gridCol w:w="6533"/>
      <w:gridCol w:w="1610"/>
    </w:tblGrid>
    <w:tr w:rsidR="00E71DBC" w14:paraId="7D98D545" w14:textId="77777777">
      <w:trPr>
        <w:trHeight w:val="360"/>
        <w:jc w:val="center"/>
      </w:trPr>
      <w:tc>
        <w:tcPr>
          <w:tcW w:w="1515" w:type="dxa"/>
          <w:vMerge w:val="restart"/>
          <w:shd w:val="clear" w:color="auto" w:fill="auto"/>
        </w:tcPr>
        <w:p w14:paraId="601D8CF4" w14:textId="77777777" w:rsidR="00E71DBC" w:rsidRDefault="006173A3">
          <w:pPr>
            <w:pBdr>
              <w:top w:val="nil"/>
              <w:left w:val="nil"/>
              <w:bottom w:val="nil"/>
              <w:right w:val="nil"/>
              <w:between w:val="nil"/>
            </w:pBdr>
            <w:rPr>
              <w:color w:val="000000"/>
            </w:rPr>
          </w:pPr>
          <w:r>
            <w:rPr>
              <w:noProof/>
            </w:rPr>
            <w:drawing>
              <wp:anchor distT="0" distB="0" distL="114300" distR="114300" simplePos="0" relativeHeight="251658240" behindDoc="0" locked="0" layoutInCell="1" hidden="0" allowOverlap="1" wp14:anchorId="2EF8CD57" wp14:editId="19EA5A0D">
                <wp:simplePos x="0" y="0"/>
                <wp:positionH relativeFrom="column">
                  <wp:posOffset>-8253</wp:posOffset>
                </wp:positionH>
                <wp:positionV relativeFrom="paragraph">
                  <wp:posOffset>38735</wp:posOffset>
                </wp:positionV>
                <wp:extent cx="805815" cy="789940"/>
                <wp:effectExtent l="0" t="0" r="0" b="0"/>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805815" cy="789940"/>
                        </a:xfrm>
                        <a:prstGeom prst="rect">
                          <a:avLst/>
                        </a:prstGeom>
                        <a:ln/>
                      </pic:spPr>
                    </pic:pic>
                  </a:graphicData>
                </a:graphic>
              </wp:anchor>
            </w:drawing>
          </w:r>
        </w:p>
      </w:tc>
      <w:tc>
        <w:tcPr>
          <w:tcW w:w="6533" w:type="dxa"/>
          <w:shd w:val="clear" w:color="auto" w:fill="FFFFFF"/>
          <w:vAlign w:val="center"/>
        </w:tcPr>
        <w:p w14:paraId="68B558AF" w14:textId="77777777" w:rsidR="00E71DBC" w:rsidRDefault="006173A3">
          <w:pPr>
            <w:pBdr>
              <w:top w:val="nil"/>
              <w:left w:val="nil"/>
              <w:bottom w:val="nil"/>
              <w:right w:val="nil"/>
              <w:between w:val="nil"/>
            </w:pBdr>
            <w:jc w:val="center"/>
            <w:rPr>
              <w:color w:val="333399"/>
              <w:sz w:val="24"/>
              <w:szCs w:val="24"/>
            </w:rPr>
          </w:pPr>
          <w:r>
            <w:rPr>
              <w:b/>
              <w:color w:val="333399"/>
              <w:sz w:val="24"/>
              <w:szCs w:val="24"/>
            </w:rPr>
            <w:t>Универзитет у Нишу</w:t>
          </w:r>
        </w:p>
        <w:p w14:paraId="10182EEF" w14:textId="77777777" w:rsidR="00E71DBC" w:rsidRDefault="006173A3">
          <w:pPr>
            <w:pBdr>
              <w:top w:val="nil"/>
              <w:left w:val="nil"/>
              <w:bottom w:val="nil"/>
              <w:right w:val="nil"/>
              <w:between w:val="nil"/>
            </w:pBdr>
            <w:jc w:val="center"/>
            <w:rPr>
              <w:color w:val="333399"/>
              <w:sz w:val="24"/>
              <w:szCs w:val="24"/>
            </w:rPr>
          </w:pPr>
          <w:r>
            <w:rPr>
              <w:b/>
              <w:color w:val="333399"/>
              <w:sz w:val="24"/>
              <w:szCs w:val="24"/>
            </w:rPr>
            <w:t>Филозофски факултет</w:t>
          </w:r>
        </w:p>
      </w:tc>
      <w:tc>
        <w:tcPr>
          <w:tcW w:w="1610" w:type="dxa"/>
          <w:vMerge w:val="restart"/>
        </w:tcPr>
        <w:p w14:paraId="0ACD35E2" w14:textId="77777777" w:rsidR="00E71DBC" w:rsidRDefault="006173A3">
          <w:pPr>
            <w:pBdr>
              <w:top w:val="nil"/>
              <w:left w:val="nil"/>
              <w:bottom w:val="nil"/>
              <w:right w:val="nil"/>
              <w:between w:val="nil"/>
            </w:pBdr>
            <w:jc w:val="right"/>
            <w:rPr>
              <w:color w:val="000000"/>
            </w:rPr>
          </w:pPr>
          <w:r>
            <w:rPr>
              <w:noProof/>
            </w:rPr>
            <w:drawing>
              <wp:anchor distT="0" distB="0" distL="114300" distR="114300" simplePos="0" relativeHeight="251659264" behindDoc="0" locked="0" layoutInCell="1" hidden="0" allowOverlap="1" wp14:anchorId="4E8D5739" wp14:editId="1F580FE2">
                <wp:simplePos x="0" y="0"/>
                <wp:positionH relativeFrom="column">
                  <wp:posOffset>46356</wp:posOffset>
                </wp:positionH>
                <wp:positionV relativeFrom="paragraph">
                  <wp:posOffset>38735</wp:posOffset>
                </wp:positionV>
                <wp:extent cx="791210" cy="78740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791210" cy="787400"/>
                        </a:xfrm>
                        <a:prstGeom prst="rect">
                          <a:avLst/>
                        </a:prstGeom>
                        <a:ln/>
                      </pic:spPr>
                    </pic:pic>
                  </a:graphicData>
                </a:graphic>
              </wp:anchor>
            </w:drawing>
          </w:r>
        </w:p>
      </w:tc>
    </w:tr>
    <w:tr w:rsidR="00E71DBC" w14:paraId="6E7FC276" w14:textId="77777777">
      <w:trPr>
        <w:trHeight w:val="460"/>
        <w:jc w:val="center"/>
      </w:trPr>
      <w:tc>
        <w:tcPr>
          <w:tcW w:w="1515" w:type="dxa"/>
          <w:vMerge/>
          <w:shd w:val="clear" w:color="auto" w:fill="auto"/>
        </w:tcPr>
        <w:p w14:paraId="6B3AC4C8" w14:textId="77777777" w:rsidR="00E71DBC" w:rsidRDefault="00E71DBC">
          <w:pPr>
            <w:pBdr>
              <w:top w:val="nil"/>
              <w:left w:val="nil"/>
              <w:bottom w:val="nil"/>
              <w:right w:val="nil"/>
              <w:between w:val="nil"/>
            </w:pBdr>
            <w:spacing w:line="276" w:lineRule="auto"/>
            <w:rPr>
              <w:color w:val="000000"/>
            </w:rPr>
          </w:pPr>
        </w:p>
      </w:tc>
      <w:tc>
        <w:tcPr>
          <w:tcW w:w="6533" w:type="dxa"/>
          <w:shd w:val="clear" w:color="auto" w:fill="E6E6E6"/>
          <w:vAlign w:val="center"/>
        </w:tcPr>
        <w:p w14:paraId="489C0B4A" w14:textId="77777777" w:rsidR="00E71DBC" w:rsidRDefault="006173A3">
          <w:pPr>
            <w:pBdr>
              <w:top w:val="nil"/>
              <w:left w:val="nil"/>
              <w:bottom w:val="nil"/>
              <w:right w:val="nil"/>
              <w:between w:val="nil"/>
            </w:pBdr>
            <w:jc w:val="center"/>
            <w:rPr>
              <w:color w:val="333399"/>
              <w:sz w:val="24"/>
              <w:szCs w:val="24"/>
            </w:rPr>
          </w:pPr>
          <w:r>
            <w:rPr>
              <w:b/>
              <w:color w:val="333399"/>
              <w:sz w:val="24"/>
              <w:szCs w:val="24"/>
            </w:rPr>
            <w:t>Акредитација студијског програма</w:t>
          </w:r>
        </w:p>
      </w:tc>
      <w:tc>
        <w:tcPr>
          <w:tcW w:w="1610" w:type="dxa"/>
          <w:vMerge/>
        </w:tcPr>
        <w:p w14:paraId="2569FF9C" w14:textId="77777777" w:rsidR="00E71DBC" w:rsidRDefault="00E71DBC">
          <w:pPr>
            <w:pBdr>
              <w:top w:val="nil"/>
              <w:left w:val="nil"/>
              <w:bottom w:val="nil"/>
              <w:right w:val="nil"/>
              <w:between w:val="nil"/>
            </w:pBdr>
            <w:spacing w:line="276" w:lineRule="auto"/>
            <w:rPr>
              <w:color w:val="333399"/>
              <w:sz w:val="24"/>
              <w:szCs w:val="24"/>
            </w:rPr>
          </w:pPr>
        </w:p>
      </w:tc>
    </w:tr>
    <w:tr w:rsidR="00E71DBC" w14:paraId="4D8A3256" w14:textId="77777777">
      <w:trPr>
        <w:trHeight w:val="520"/>
        <w:jc w:val="center"/>
      </w:trPr>
      <w:tc>
        <w:tcPr>
          <w:tcW w:w="1515" w:type="dxa"/>
          <w:vMerge/>
          <w:shd w:val="clear" w:color="auto" w:fill="auto"/>
        </w:tcPr>
        <w:p w14:paraId="36540AF3" w14:textId="77777777" w:rsidR="00E71DBC" w:rsidRDefault="00E71DBC">
          <w:pPr>
            <w:pBdr>
              <w:top w:val="nil"/>
              <w:left w:val="nil"/>
              <w:bottom w:val="nil"/>
              <w:right w:val="nil"/>
              <w:between w:val="nil"/>
            </w:pBdr>
            <w:spacing w:line="276" w:lineRule="auto"/>
            <w:rPr>
              <w:color w:val="333399"/>
              <w:sz w:val="24"/>
              <w:szCs w:val="24"/>
            </w:rPr>
          </w:pPr>
        </w:p>
      </w:tc>
      <w:tc>
        <w:tcPr>
          <w:tcW w:w="6533" w:type="dxa"/>
          <w:shd w:val="clear" w:color="auto" w:fill="FFFFFF"/>
          <w:vAlign w:val="center"/>
        </w:tcPr>
        <w:p w14:paraId="5134DD46" w14:textId="77777777" w:rsidR="00E71DBC" w:rsidRDefault="006173A3">
          <w:pPr>
            <w:pBdr>
              <w:top w:val="nil"/>
              <w:left w:val="nil"/>
              <w:bottom w:val="nil"/>
              <w:right w:val="nil"/>
              <w:between w:val="nil"/>
            </w:pBdr>
            <w:jc w:val="center"/>
            <w:rPr>
              <w:color w:val="333399"/>
              <w:sz w:val="24"/>
              <w:szCs w:val="24"/>
            </w:rPr>
          </w:pPr>
          <w:r>
            <w:rPr>
              <w:b/>
              <w:color w:val="333399"/>
              <w:sz w:val="24"/>
              <w:szCs w:val="24"/>
            </w:rPr>
            <w:t>Основне академске студије:</w:t>
          </w:r>
        </w:p>
        <w:p w14:paraId="7419ADD4" w14:textId="77777777" w:rsidR="00E71DBC" w:rsidRDefault="006173A3">
          <w:pPr>
            <w:pBdr>
              <w:top w:val="nil"/>
              <w:left w:val="nil"/>
              <w:bottom w:val="nil"/>
              <w:right w:val="nil"/>
              <w:between w:val="nil"/>
            </w:pBdr>
            <w:jc w:val="center"/>
            <w:rPr>
              <w:color w:val="333399"/>
              <w:sz w:val="24"/>
              <w:szCs w:val="24"/>
            </w:rPr>
          </w:pPr>
          <w:r>
            <w:rPr>
              <w:b/>
              <w:color w:val="333399"/>
              <w:sz w:val="24"/>
              <w:szCs w:val="24"/>
            </w:rPr>
            <w:t>Немачки језик и књижевност</w:t>
          </w:r>
        </w:p>
      </w:tc>
      <w:tc>
        <w:tcPr>
          <w:tcW w:w="1610" w:type="dxa"/>
          <w:vMerge/>
        </w:tcPr>
        <w:p w14:paraId="182E9155" w14:textId="77777777" w:rsidR="00E71DBC" w:rsidRDefault="00E71DBC">
          <w:pPr>
            <w:pBdr>
              <w:top w:val="nil"/>
              <w:left w:val="nil"/>
              <w:bottom w:val="nil"/>
              <w:right w:val="nil"/>
              <w:between w:val="nil"/>
            </w:pBdr>
            <w:spacing w:line="276" w:lineRule="auto"/>
            <w:rPr>
              <w:color w:val="333399"/>
              <w:sz w:val="24"/>
              <w:szCs w:val="24"/>
            </w:rPr>
          </w:pPr>
        </w:p>
      </w:tc>
    </w:tr>
  </w:tbl>
  <w:p w14:paraId="49B9D985" w14:textId="77777777" w:rsidR="00E71DBC" w:rsidRDefault="006173A3">
    <w:pPr>
      <w:pBdr>
        <w:top w:val="nil"/>
        <w:left w:val="nil"/>
        <w:bottom w:val="nil"/>
        <w:right w:val="nil"/>
        <w:between w:val="nil"/>
      </w:pBdr>
      <w:jc w:val="center"/>
      <w:rPr>
        <w:color w:val="000000"/>
      </w:rPr>
    </w:pPr>
    <w:r>
      <w:rPr>
        <w:color w:val="00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DBC"/>
    <w:rsid w:val="00105250"/>
    <w:rsid w:val="002029AB"/>
    <w:rsid w:val="00227AF3"/>
    <w:rsid w:val="002D7CAD"/>
    <w:rsid w:val="004120BE"/>
    <w:rsid w:val="00534ACA"/>
    <w:rsid w:val="006173A3"/>
    <w:rsid w:val="00665878"/>
    <w:rsid w:val="0076394B"/>
    <w:rsid w:val="00797A17"/>
    <w:rsid w:val="00947BE8"/>
    <w:rsid w:val="00A81B5F"/>
    <w:rsid w:val="00D87EE3"/>
    <w:rsid w:val="00E71DBC"/>
    <w:rsid w:val="00EE3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0B9F6"/>
  <w15:docId w15:val="{2FC466EF-6FDC-4356-8BB5-AAAFA75F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Cyrl"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6</cp:revision>
  <dcterms:created xsi:type="dcterms:W3CDTF">2024-09-11T08:46:00Z</dcterms:created>
  <dcterms:modified xsi:type="dcterms:W3CDTF">2024-09-11T09:07:00Z</dcterms:modified>
</cp:coreProperties>
</file>